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4CFE2">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jc w:val="center"/>
        <w:textAlignment w:val="auto"/>
      </w:pPr>
      <w:r>
        <w:rPr>
          <w:rFonts w:ascii="方正小标宋简体" w:hAnsi="方正小标宋简体" w:eastAsia="方正小标宋简体" w:cs="方正小标宋简体"/>
          <w:sz w:val="44"/>
          <w:szCs w:val="44"/>
        </w:rPr>
        <w:t>措美县卫健委</w:t>
      </w:r>
      <w:r>
        <w:rPr>
          <w:rFonts w:hint="eastAsia" w:ascii="方正小标宋简体" w:hAnsi="方正小标宋简体" w:eastAsia="方正小标宋简体" w:cs="方正小标宋简体"/>
          <w:sz w:val="44"/>
          <w:szCs w:val="44"/>
        </w:rPr>
        <w:t>2024年法治政府建设年度报告</w:t>
      </w:r>
    </w:p>
    <w:p w14:paraId="10CC40D8">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textAlignment w:val="auto"/>
        <w:rPr>
          <w:rFonts w:ascii="仿宋_GB2312" w:hAnsi="宋体" w:eastAsia="仿宋_GB2312" w:cs="仿宋_GB2312"/>
          <w:sz w:val="32"/>
          <w:szCs w:val="32"/>
        </w:rPr>
      </w:pPr>
    </w:p>
    <w:p w14:paraId="5170EF6C">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textAlignment w:val="auto"/>
      </w:pPr>
      <w:r>
        <w:rPr>
          <w:rFonts w:ascii="仿宋_GB2312" w:hAnsi="宋体" w:eastAsia="仿宋_GB2312" w:cs="仿宋_GB2312"/>
          <w:sz w:val="32"/>
          <w:szCs w:val="32"/>
        </w:rPr>
        <w:t>2024</w:t>
      </w:r>
      <w:r>
        <w:rPr>
          <w:rFonts w:hint="eastAsia" w:ascii="仿宋_GB2312" w:eastAsia="仿宋_GB2312" w:cs="仿宋_GB2312"/>
          <w:sz w:val="32"/>
          <w:szCs w:val="32"/>
        </w:rPr>
        <w:t>年以来，县卫健委积极贯彻落实法治政府建设的各项要求，坚持以法治理念为引领，以保障人民群众健康权益为核心，全面推进卫生健康领域的法治建设工作，在依法行政、制度建设、执法监督、法治宣传等多个方面取得了显著成效，为全县卫生健康事业的稳定发展提供了坚实的法治保障。现将有关情况总结报告如下：</w:t>
      </w:r>
      <w:bookmarkStart w:id="0" w:name="_GoBack"/>
      <w:bookmarkEnd w:id="0"/>
    </w:p>
    <w:p w14:paraId="4A430B09">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Fonts w:ascii="黑体" w:hAnsi="宋体" w:eastAsia="黑体" w:cs="黑体"/>
          <w:sz w:val="32"/>
          <w:szCs w:val="32"/>
        </w:rPr>
        <w:t>一、2024年度推进法治政府建设的主要举措和成效</w:t>
      </w:r>
    </w:p>
    <w:p w14:paraId="1C972338">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textAlignment w:val="auto"/>
      </w:pPr>
      <w:r>
        <w:rPr>
          <w:rFonts w:ascii="楷体" w:hAnsi="楷体" w:eastAsia="楷体" w:cs="楷体"/>
          <w:sz w:val="32"/>
          <w:szCs w:val="32"/>
        </w:rPr>
        <w:t>（一）加强组织领导，构建法治建设工作格局。</w:t>
      </w:r>
      <w:r>
        <w:rPr>
          <w:rFonts w:hint="eastAsia" w:ascii="仿宋_GB2312" w:eastAsia="仿宋_GB2312" w:cs="仿宋_GB2312"/>
          <w:sz w:val="32"/>
          <w:szCs w:val="32"/>
        </w:rPr>
        <w:t>成立了以卫健委主任为组长的法治政府建设领导小组，明确各成员科室和单位的职责分工，形成了主要领导亲自抓、分管领导具体抓、各科室和单位协同推进的工作机制。定期召开法治建设工作会议，研究部署法治政府建设的重点任务，及时解决工作中存在的问题，确保法治建设工作有序推进。</w:t>
      </w:r>
    </w:p>
    <w:p w14:paraId="6C0E1CFC">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textAlignment w:val="auto"/>
      </w:pPr>
      <w:r>
        <w:rPr>
          <w:rFonts w:hint="eastAsia" w:ascii="楷体" w:hAnsi="楷体" w:eastAsia="楷体" w:cs="楷体"/>
          <w:sz w:val="32"/>
          <w:szCs w:val="32"/>
        </w:rPr>
        <w:t>（二）完善依法行政制度体系。</w:t>
      </w:r>
      <w:r>
        <w:rPr>
          <w:rStyle w:val="7"/>
          <w:rFonts w:hint="eastAsia" w:ascii="仿宋_GB2312" w:eastAsia="仿宋_GB2312" w:cs="仿宋_GB2312"/>
          <w:sz w:val="32"/>
          <w:szCs w:val="32"/>
        </w:rPr>
        <w:t>一是</w:t>
      </w:r>
      <w:r>
        <w:rPr>
          <w:rFonts w:hint="eastAsia" w:ascii="仿宋_GB2312" w:eastAsia="仿宋_GB2312" w:cs="仿宋_GB2312"/>
          <w:sz w:val="32"/>
          <w:szCs w:val="32"/>
        </w:rPr>
        <w:t>规范性文件制定与管理。严格按照规范性文件制定程序，对涉及公民、法人和其他组织权利义务的规范性文件，进行合法性审查、公平竞争审查和集体讨论决定。加强规范性文件的备案审查工作，确保规范性文件的合法性和有效性。</w:t>
      </w:r>
      <w:r>
        <w:rPr>
          <w:rStyle w:val="7"/>
          <w:rFonts w:hint="eastAsia" w:ascii="仿宋_GB2312" w:eastAsia="仿宋_GB2312" w:cs="仿宋_GB2312"/>
          <w:sz w:val="32"/>
          <w:szCs w:val="32"/>
        </w:rPr>
        <w:t>二是</w:t>
      </w:r>
      <w:r>
        <w:rPr>
          <w:rFonts w:hint="eastAsia" w:ascii="仿宋_GB2312" w:eastAsia="仿宋_GB2312" w:cs="仿宋_GB2312"/>
          <w:sz w:val="32"/>
          <w:szCs w:val="32"/>
        </w:rPr>
        <w:t>清理优化行政权力事项。依据法律法规和上级政策的变化，及时对行政权力事项进行清理和调整，优化行政权力运行流程，明确各事项的办理依据、条件、程序、期限等内容，并向社会公开。目前，县卫健委共保留行政许可</w:t>
      </w:r>
      <w:r>
        <w:rPr>
          <w:rFonts w:hint="eastAsia" w:ascii="仿宋_GB2312" w:hAnsi="宋体" w:eastAsia="仿宋_GB2312" w:cs="仿宋_GB2312"/>
          <w:sz w:val="32"/>
          <w:szCs w:val="32"/>
        </w:rPr>
        <w:t>3</w:t>
      </w:r>
      <w:r>
        <w:rPr>
          <w:rFonts w:hint="eastAsia" w:ascii="仿宋_GB2312" w:eastAsia="仿宋_GB2312" w:cs="仿宋_GB2312"/>
          <w:sz w:val="32"/>
          <w:szCs w:val="32"/>
        </w:rPr>
        <w:t>项、行政处罚</w:t>
      </w:r>
      <w:r>
        <w:rPr>
          <w:rFonts w:hint="eastAsia" w:ascii="仿宋_GB2312" w:hAnsi="宋体" w:eastAsia="仿宋_GB2312" w:cs="仿宋_GB2312"/>
          <w:sz w:val="32"/>
          <w:szCs w:val="32"/>
        </w:rPr>
        <w:t>30</w:t>
      </w:r>
      <w:r>
        <w:rPr>
          <w:rFonts w:hint="eastAsia" w:ascii="仿宋_GB2312" w:eastAsia="仿宋_GB2312" w:cs="仿宋_GB2312"/>
          <w:sz w:val="32"/>
          <w:szCs w:val="32"/>
        </w:rPr>
        <w:t>项、行政强制</w:t>
      </w:r>
      <w:r>
        <w:rPr>
          <w:rFonts w:hint="eastAsia" w:ascii="仿宋_GB2312" w:hAnsi="宋体" w:eastAsia="仿宋_GB2312" w:cs="仿宋_GB2312"/>
          <w:sz w:val="32"/>
          <w:szCs w:val="32"/>
        </w:rPr>
        <w:t>5</w:t>
      </w:r>
      <w:r>
        <w:rPr>
          <w:rFonts w:hint="eastAsia" w:ascii="仿宋_GB2312" w:eastAsia="仿宋_GB2312" w:cs="仿宋_GB2312"/>
          <w:sz w:val="32"/>
          <w:szCs w:val="32"/>
        </w:rPr>
        <w:t>项等行政权力事项，实现了行政权力的规范化、标准化管理。</w:t>
      </w:r>
    </w:p>
    <w:p w14:paraId="40A37E10">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textAlignment w:val="auto"/>
      </w:pPr>
      <w:r>
        <w:rPr>
          <w:rFonts w:hint="eastAsia" w:ascii="楷体" w:hAnsi="楷体" w:eastAsia="楷体" w:cs="楷体"/>
          <w:sz w:val="32"/>
          <w:szCs w:val="32"/>
        </w:rPr>
        <w:t>（三）依法化解卫生健康领域矛盾纠纷。</w:t>
      </w:r>
      <w:r>
        <w:rPr>
          <w:rStyle w:val="7"/>
          <w:rFonts w:hint="eastAsia" w:ascii="仿宋_GB2312" w:hAnsi="宋体" w:eastAsia="仿宋_GB2312" w:cs="仿宋_GB2312"/>
          <w:sz w:val="32"/>
          <w:szCs w:val="32"/>
          <w:lang w:val="en-US" w:eastAsia="zh-CN"/>
        </w:rPr>
        <w:t>一是</w:t>
      </w:r>
      <w:r>
        <w:rPr>
          <w:rStyle w:val="7"/>
          <w:rFonts w:hint="eastAsia" w:ascii="仿宋_GB2312" w:eastAsia="仿宋_GB2312" w:cs="仿宋_GB2312"/>
          <w:b w:val="0"/>
          <w:bCs/>
          <w:sz w:val="32"/>
          <w:szCs w:val="32"/>
        </w:rPr>
        <w:t>健全信访工作机制。</w:t>
      </w:r>
      <w:r>
        <w:rPr>
          <w:rFonts w:hint="eastAsia" w:ascii="仿宋_GB2312" w:eastAsia="仿宋_GB2312" w:cs="仿宋_GB2312"/>
          <w:sz w:val="32"/>
          <w:szCs w:val="32"/>
        </w:rPr>
        <w:t>完善信访接待、办理、反馈等工作制度，畅通信访渠道，规范信访秩序。认真处理群众来信来访，对反映的问题及时进行调查核实，依法依规作出处理，并将处理结果及时反馈给信访人。</w:t>
      </w:r>
      <w:r>
        <w:rPr>
          <w:rStyle w:val="7"/>
          <w:rFonts w:hint="eastAsia" w:ascii="仿宋_GB2312" w:hAnsi="宋体" w:eastAsia="仿宋_GB2312" w:cs="仿宋_GB2312"/>
          <w:sz w:val="32"/>
          <w:szCs w:val="32"/>
          <w:lang w:val="en-US" w:eastAsia="zh-CN"/>
        </w:rPr>
        <w:t>二是</w:t>
      </w:r>
      <w:r>
        <w:rPr>
          <w:rStyle w:val="7"/>
          <w:rFonts w:hint="eastAsia" w:ascii="仿宋_GB2312" w:eastAsia="仿宋_GB2312" w:cs="仿宋_GB2312"/>
          <w:b w:val="0"/>
          <w:bCs/>
          <w:sz w:val="32"/>
          <w:szCs w:val="32"/>
        </w:rPr>
        <w:t>推进医疗纠纷多元化解机制建设。</w:t>
      </w:r>
      <w:r>
        <w:rPr>
          <w:rFonts w:hint="eastAsia" w:ascii="仿宋_GB2312" w:eastAsia="仿宋_GB2312" w:cs="仿宋_GB2312"/>
          <w:sz w:val="32"/>
          <w:szCs w:val="32"/>
        </w:rPr>
        <w:t>加强与医疗机构的协作配合，建立健全医疗纠纷人民调解、行政调解、司法调解衔接配合机制，引导医患双方通过合法途径解决医疗纠纷。</w:t>
      </w:r>
    </w:p>
    <w:p w14:paraId="6BB6F789">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textAlignment w:val="auto"/>
      </w:pPr>
      <w:r>
        <w:rPr>
          <w:rFonts w:hint="eastAsia" w:ascii="楷体" w:hAnsi="楷体" w:eastAsia="楷体" w:cs="楷体"/>
          <w:sz w:val="32"/>
          <w:szCs w:val="32"/>
        </w:rPr>
        <w:t>（四）广泛开展法治宣传教育。</w:t>
      </w:r>
      <w:r>
        <w:rPr>
          <w:rStyle w:val="7"/>
          <w:rFonts w:hint="eastAsia" w:ascii="仿宋_GB2312" w:hAnsi="宋体" w:eastAsia="仿宋_GB2312" w:cs="仿宋_GB2312"/>
          <w:sz w:val="32"/>
          <w:szCs w:val="32"/>
          <w:lang w:val="en-US" w:eastAsia="zh-CN"/>
        </w:rPr>
        <w:t>一是</w:t>
      </w:r>
      <w:r>
        <w:rPr>
          <w:rStyle w:val="7"/>
          <w:rFonts w:hint="eastAsia" w:ascii="仿宋_GB2312" w:eastAsia="仿宋_GB2312" w:cs="仿宋_GB2312"/>
          <w:b w:val="0"/>
          <w:bCs/>
          <w:sz w:val="32"/>
          <w:szCs w:val="32"/>
        </w:rPr>
        <w:t>加强领导干部法治培训。</w:t>
      </w:r>
      <w:r>
        <w:rPr>
          <w:rFonts w:hint="eastAsia" w:ascii="仿宋_GB2312" w:eastAsia="仿宋_GB2312" w:cs="仿宋_GB2312"/>
          <w:sz w:val="32"/>
          <w:szCs w:val="32"/>
        </w:rPr>
        <w:t>将法治学习纳入委党组中心组学习和干部职工培训的重要内容，积极组织领导干部和职工学习宪法、基本医疗卫生与健康促进法、医师法、传染病防治法等法律法规知识，不断增强领导干部和职工的法治意识和法治观念。</w:t>
      </w:r>
      <w:r>
        <w:rPr>
          <w:rStyle w:val="7"/>
          <w:rFonts w:hint="eastAsia" w:ascii="仿宋_GB2312" w:hAnsi="宋体" w:eastAsia="仿宋_GB2312" w:cs="仿宋_GB2312"/>
          <w:sz w:val="32"/>
          <w:szCs w:val="32"/>
          <w:lang w:val="en-US" w:eastAsia="zh-CN"/>
        </w:rPr>
        <w:t>二是</w:t>
      </w:r>
      <w:r>
        <w:rPr>
          <w:rStyle w:val="7"/>
          <w:rFonts w:hint="eastAsia" w:ascii="仿宋_GB2312" w:eastAsia="仿宋_GB2312" w:cs="仿宋_GB2312"/>
          <w:b w:val="0"/>
          <w:bCs/>
          <w:sz w:val="32"/>
          <w:szCs w:val="32"/>
        </w:rPr>
        <w:t>开展行业法治宣传活动。</w:t>
      </w:r>
      <w:r>
        <w:rPr>
          <w:rFonts w:hint="eastAsia" w:ascii="仿宋_GB2312" w:eastAsia="仿宋_GB2312" w:cs="仿宋_GB2312"/>
          <w:sz w:val="32"/>
          <w:szCs w:val="32"/>
        </w:rPr>
        <w:t>结合“世界卫生日”“国家宪法日”等重要时间节点，组织开展形式多样的法治宣传活动，通过发放宣传资料、开展法律咨询等方式，向广大群众和医疗卫生机构从业人员宣传卫生健康法律法规知识，营造良好的法治氛围。今年以来，共开展各类法治宣传活动</w:t>
      </w:r>
      <w:r>
        <w:rPr>
          <w:rFonts w:hint="eastAsia" w:ascii="仿宋_GB2312" w:hAnsi="宋体" w:eastAsia="仿宋_GB2312" w:cs="仿宋_GB2312"/>
          <w:sz w:val="32"/>
          <w:szCs w:val="32"/>
        </w:rPr>
        <w:t>2</w:t>
      </w:r>
      <w:r>
        <w:rPr>
          <w:rFonts w:hint="eastAsia" w:ascii="仿宋_GB2312" w:eastAsia="仿宋_GB2312" w:cs="仿宋_GB2312"/>
          <w:sz w:val="32"/>
          <w:szCs w:val="32"/>
        </w:rPr>
        <w:t>场次，发放宣传资料</w:t>
      </w:r>
      <w:r>
        <w:rPr>
          <w:rFonts w:hint="eastAsia" w:ascii="仿宋_GB2312" w:hAnsi="宋体" w:eastAsia="仿宋_GB2312" w:cs="仿宋_GB2312"/>
          <w:sz w:val="32"/>
          <w:szCs w:val="32"/>
        </w:rPr>
        <w:t>600</w:t>
      </w:r>
      <w:r>
        <w:rPr>
          <w:rFonts w:hint="eastAsia" w:ascii="仿宋_GB2312" w:eastAsia="仿宋_GB2312" w:cs="仿宋_GB2312"/>
          <w:sz w:val="32"/>
          <w:szCs w:val="32"/>
        </w:rPr>
        <w:t>余份，接受群众咨询</w:t>
      </w:r>
      <w:r>
        <w:rPr>
          <w:rFonts w:hint="eastAsia" w:ascii="仿宋_GB2312" w:hAnsi="宋体" w:eastAsia="仿宋_GB2312" w:cs="仿宋_GB2312"/>
          <w:sz w:val="32"/>
          <w:szCs w:val="32"/>
        </w:rPr>
        <w:t>70</w:t>
      </w:r>
      <w:r>
        <w:rPr>
          <w:rFonts w:hint="eastAsia" w:ascii="仿宋_GB2312" w:eastAsia="仿宋_GB2312" w:cs="仿宋_GB2312"/>
          <w:sz w:val="32"/>
          <w:szCs w:val="32"/>
        </w:rPr>
        <w:t>余人次。</w:t>
      </w:r>
      <w:r>
        <w:rPr>
          <w:rStyle w:val="7"/>
          <w:rFonts w:hint="eastAsia" w:ascii="仿宋_GB2312" w:hAnsi="宋体" w:eastAsia="仿宋_GB2312" w:cs="仿宋_GB2312"/>
          <w:sz w:val="32"/>
          <w:szCs w:val="32"/>
          <w:lang w:val="en-US" w:eastAsia="zh-CN"/>
        </w:rPr>
        <w:t>三是</w:t>
      </w:r>
      <w:r>
        <w:rPr>
          <w:rStyle w:val="7"/>
          <w:rFonts w:hint="eastAsia" w:ascii="仿宋_GB2312" w:eastAsia="仿宋_GB2312" w:cs="仿宋_GB2312"/>
          <w:b w:val="0"/>
          <w:bCs/>
          <w:sz w:val="32"/>
          <w:szCs w:val="32"/>
        </w:rPr>
        <w:t>创新法治宣传教育方式。</w:t>
      </w:r>
      <w:r>
        <w:rPr>
          <w:rFonts w:hint="eastAsia" w:ascii="仿宋_GB2312" w:eastAsia="仿宋_GB2312" w:cs="仿宋_GB2312"/>
          <w:sz w:val="32"/>
          <w:szCs w:val="32"/>
        </w:rPr>
        <w:t>充分利用新媒体平台，开展法治宣传教育工作。及时发布卫生健康法律法规政策解读、执法动态、典型案例等信息，拓宽法治宣传教育的覆盖面和影响力。同时，鼓励医疗卫生机构利用电子显示屏、宣传栏等阵地开展法治宣传教育，形成全方位、多层次的法治宣传教育格局。</w:t>
      </w:r>
    </w:p>
    <w:p w14:paraId="6325BBC9">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2"/>
        <w:jc w:val="both"/>
        <w:textAlignment w:val="auto"/>
      </w:pPr>
      <w:r>
        <w:rPr>
          <w:rFonts w:hint="eastAsia" w:ascii="黑体" w:hAnsi="宋体" w:eastAsia="黑体" w:cs="黑体"/>
          <w:sz w:val="32"/>
          <w:szCs w:val="32"/>
        </w:rPr>
        <w:t>二、2024年度推进法治政府建设存在的不足和原因</w:t>
      </w:r>
    </w:p>
    <w:p w14:paraId="699F0E6F">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textAlignment w:val="auto"/>
      </w:pPr>
      <w:r>
        <w:rPr>
          <w:rFonts w:hint="eastAsia" w:ascii="楷体" w:hAnsi="楷体" w:eastAsia="楷体" w:cs="楷体"/>
          <w:sz w:val="32"/>
          <w:szCs w:val="32"/>
        </w:rPr>
        <w:t>（一）法治思维和法治意识有待提高。</w:t>
      </w:r>
      <w:r>
        <w:rPr>
          <w:rFonts w:hint="eastAsia" w:ascii="仿宋_GB2312" w:eastAsia="仿宋_GB2312" w:cs="仿宋_GB2312"/>
          <w:sz w:val="32"/>
          <w:szCs w:val="32"/>
        </w:rPr>
        <w:t>部分领导干部和职工对法治政府建设的重要性认识不足，法治思维和法治意识还不够强，在工作中存在重业务、轻法治的现象，依法办事的自觉性和主动性有待进一步提高。</w:t>
      </w:r>
    </w:p>
    <w:p w14:paraId="2B4CBDE0">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textAlignment w:val="auto"/>
      </w:pPr>
      <w:r>
        <w:rPr>
          <w:rFonts w:hint="eastAsia" w:ascii="楷体" w:hAnsi="楷体" w:eastAsia="楷体" w:cs="楷体"/>
          <w:sz w:val="32"/>
          <w:szCs w:val="32"/>
        </w:rPr>
        <w:t>（二）行政执法规范化水平仍需提升。</w:t>
      </w:r>
      <w:r>
        <w:rPr>
          <w:rFonts w:hint="eastAsia" w:ascii="仿宋_GB2312" w:eastAsia="仿宋_GB2312" w:cs="仿宋_GB2312"/>
          <w:sz w:val="32"/>
          <w:szCs w:val="32"/>
        </w:rPr>
        <w:t>虽然在行政执法规范化建设方面取得了一定成效，但在执法细节上还存在一些不足之处，如个别执法人员在执法过程中存在程序不够严谨、证据收集不够充分、法律适用不够准确等问题，执法文书制作也有待进一步规范。</w:t>
      </w:r>
    </w:p>
    <w:p w14:paraId="7E7949D8">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textAlignment w:val="auto"/>
      </w:pPr>
      <w:r>
        <w:rPr>
          <w:rFonts w:hint="eastAsia" w:ascii="楷体" w:hAnsi="楷体" w:eastAsia="楷体" w:cs="楷体"/>
          <w:sz w:val="32"/>
          <w:szCs w:val="32"/>
        </w:rPr>
        <w:t>（三）法治宣传教育的针对性和实效性有待增强。</w:t>
      </w:r>
      <w:r>
        <w:rPr>
          <w:rFonts w:hint="eastAsia" w:ascii="仿宋_GB2312" w:eastAsia="仿宋_GB2312" w:cs="仿宋_GB2312"/>
          <w:sz w:val="32"/>
          <w:szCs w:val="32"/>
        </w:rPr>
        <w:t>在法治宣传教育工作中，存在宣传内容不够精准、宣传方式不够灵活、宣传对象覆盖面不够广泛等问题，导致部分群众和医疗卫生机构从业人员对卫生健康法律法规知识的知晓率和理解程度不高，法治宣传教育的效果不够理想。</w:t>
      </w:r>
    </w:p>
    <w:p w14:paraId="3060E547">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31"/>
        <w:jc w:val="both"/>
        <w:textAlignment w:val="auto"/>
      </w:pPr>
      <w:r>
        <w:rPr>
          <w:rFonts w:hint="default" w:ascii="Times New Roman" w:hAnsi="Times New Roman" w:eastAsia="黑体" w:cs="Times New Roman"/>
          <w:sz w:val="32"/>
          <w:szCs w:val="32"/>
        </w:rPr>
        <w:t>三、</w:t>
      </w:r>
      <w:r>
        <w:rPr>
          <w:rFonts w:hint="default" w:ascii="Times New Roman" w:hAnsi="Times New Roman" w:cs="Times New Roman"/>
          <w:sz w:val="32"/>
          <w:szCs w:val="32"/>
        </w:rPr>
        <w:t>2024</w:t>
      </w:r>
      <w:r>
        <w:rPr>
          <w:rFonts w:hint="default" w:ascii="Times New Roman" w:hAnsi="Times New Roman" w:eastAsia="黑体" w:cs="Times New Roman"/>
          <w:sz w:val="32"/>
          <w:szCs w:val="32"/>
        </w:rPr>
        <w:t>年度党政主要负责人履行推进法治建设第一责任人职责，加强法治政府建设的有关情况</w:t>
      </w:r>
    </w:p>
    <w:p w14:paraId="1C18A59A">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textAlignment w:val="auto"/>
      </w:pPr>
      <w:r>
        <w:rPr>
          <w:rFonts w:hint="eastAsia" w:ascii="楷体" w:hAnsi="楷体" w:eastAsia="楷体" w:cs="楷体"/>
          <w:sz w:val="32"/>
          <w:szCs w:val="32"/>
        </w:rPr>
        <w:t>（一）加强组织领导，统筹推进法治建设。</w:t>
      </w:r>
      <w:r>
        <w:rPr>
          <w:rStyle w:val="7"/>
          <w:rFonts w:hint="eastAsia" w:ascii="仿宋_GB2312" w:hAnsi="宋体" w:eastAsia="仿宋_GB2312" w:cs="仿宋_GB2312"/>
          <w:sz w:val="32"/>
          <w:szCs w:val="32"/>
          <w:lang w:val="en-US" w:eastAsia="zh-CN"/>
        </w:rPr>
        <w:t>一是</w:t>
      </w:r>
      <w:r>
        <w:rPr>
          <w:rStyle w:val="7"/>
          <w:rFonts w:hint="eastAsia" w:ascii="仿宋_GB2312" w:eastAsia="仿宋_GB2312" w:cs="仿宋_GB2312"/>
          <w:b w:val="0"/>
          <w:bCs/>
          <w:sz w:val="32"/>
          <w:szCs w:val="32"/>
        </w:rPr>
        <w:t>建立健全法治建设领导体制。</w:t>
      </w:r>
      <w:r>
        <w:rPr>
          <w:rFonts w:hint="eastAsia" w:ascii="仿宋_GB2312" w:eastAsia="仿宋_GB2312" w:cs="仿宋_GB2312"/>
          <w:sz w:val="32"/>
          <w:szCs w:val="32"/>
        </w:rPr>
        <w:t>成立了以</w:t>
      </w:r>
      <w:r>
        <w:rPr>
          <w:rFonts w:hint="eastAsia" w:ascii="仿宋_GB2312" w:eastAsia="仿宋_GB2312" w:cs="仿宋_GB2312"/>
          <w:sz w:val="32"/>
          <w:szCs w:val="32"/>
          <w:lang w:val="en-US" w:eastAsia="zh-CN"/>
        </w:rPr>
        <w:t>主要负责人</w:t>
      </w:r>
      <w:r>
        <w:rPr>
          <w:rFonts w:hint="eastAsia" w:ascii="仿宋_GB2312" w:eastAsia="仿宋_GB2312" w:cs="仿宋_GB2312"/>
          <w:sz w:val="32"/>
          <w:szCs w:val="32"/>
        </w:rPr>
        <w:t>为组长的卫健委法治建设领导小组，明确了小组成员的职责分工，形成了主要领导亲自抓、分管领导具体抓、各科室协同推进的法治建设工作格局。定期召开领导小组会议，研究部署法治建设重点工作，及时解决工作中存在的困难和问题，确保法治建设工作有序推进</w:t>
      </w:r>
      <w:r>
        <w:rPr>
          <w:rFonts w:hint="eastAsia" w:ascii="仿宋_GB2312" w:eastAsia="仿宋_GB2312" w:cs="仿宋_GB2312"/>
          <w:b w:val="0"/>
          <w:bCs w:val="0"/>
          <w:sz w:val="32"/>
          <w:szCs w:val="32"/>
        </w:rPr>
        <w:t>。</w:t>
      </w:r>
      <w:r>
        <w:rPr>
          <w:rFonts w:hint="eastAsia" w:ascii="仿宋_GB2312" w:eastAsia="仿宋_GB2312" w:cs="仿宋_GB2312"/>
          <w:b/>
          <w:bCs/>
          <w:sz w:val="32"/>
          <w:szCs w:val="32"/>
          <w:lang w:val="en-US" w:eastAsia="zh-CN"/>
        </w:rPr>
        <w:t>二是</w:t>
      </w:r>
      <w:r>
        <w:rPr>
          <w:rStyle w:val="7"/>
          <w:rFonts w:ascii="仿宋" w:hAnsi="仿宋" w:eastAsia="仿宋" w:cs="仿宋"/>
          <w:b w:val="0"/>
          <w:bCs w:val="0"/>
          <w:sz w:val="32"/>
          <w:szCs w:val="32"/>
        </w:rPr>
        <w:t>制定法治建设工作计划和目标。</w:t>
      </w:r>
      <w:r>
        <w:rPr>
          <w:rFonts w:hint="eastAsia" w:ascii="仿宋_GB2312" w:eastAsia="仿宋_GB2312" w:cs="仿宋_GB2312"/>
          <w:sz w:val="32"/>
          <w:szCs w:val="32"/>
        </w:rPr>
        <w:t>结合卫生健康工作实际，制定了年度法治建设工作计划，明确了法治宣传教育、依法行政、制度建设等方面的工作目标和任务，并将法治建设工作纳入本部门年度绩效考核体系，与业务工作同部署、同落实、同考核，有效推动了法治建设各项任务的落实。</w:t>
      </w:r>
    </w:p>
    <w:p w14:paraId="516F9976">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textAlignment w:val="auto"/>
      </w:pPr>
      <w:r>
        <w:rPr>
          <w:rFonts w:hint="eastAsia" w:ascii="楷体" w:hAnsi="楷体" w:eastAsia="楷体" w:cs="楷体"/>
          <w:sz w:val="32"/>
          <w:szCs w:val="32"/>
        </w:rPr>
        <w:t>（二）强化法治思维，提高依法决策水平。</w:t>
      </w:r>
      <w:r>
        <w:rPr>
          <w:rFonts w:hint="eastAsia" w:ascii="仿宋_GB2312" w:eastAsia="仿宋_GB2312" w:cs="仿宋_GB2312"/>
          <w:sz w:val="32"/>
          <w:szCs w:val="32"/>
        </w:rPr>
        <w:t>我本人积极参加各类法治培训和学习活动，深入学习习近平法治思想以及卫生健康相关法律法规，不断提高自身的法治素养和依法决策能力。同时，组织委机关全体干部职工和直属单位领导班子成员开展法律法规集中学习培训，通过学习培训，使广大干部职工深刻认识到法治建设的重要性，增强了依法办事的意识和能力。</w:t>
      </w:r>
    </w:p>
    <w:p w14:paraId="0FB4E2FB">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textAlignment w:val="auto"/>
      </w:pPr>
      <w:r>
        <w:rPr>
          <w:rFonts w:hint="eastAsia" w:ascii="楷体" w:hAnsi="楷体" w:eastAsia="楷体" w:cs="楷体"/>
          <w:sz w:val="32"/>
          <w:szCs w:val="32"/>
        </w:rPr>
        <w:t>（三）推进依法行政，规范卫生健康执法行为。</w:t>
      </w:r>
      <w:r>
        <w:rPr>
          <w:rFonts w:hint="eastAsia" w:ascii="仿宋_GB2312" w:eastAsia="仿宋_GB2312" w:cs="仿宋_GB2312"/>
          <w:sz w:val="32"/>
          <w:szCs w:val="32"/>
        </w:rPr>
        <w:t>加大行政执法人员培训力度，定期组织行政执法人员参加业务知识培训和法律知识考试，不断提高行政执法人员的业务水平和执法能力。严格实行行政执法人员持证上岗和资格管理制度，对未取得执法资格的人员，不得从事行政执法活动。</w:t>
      </w:r>
    </w:p>
    <w:p w14:paraId="1A8550F0">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textAlignment w:val="auto"/>
      </w:pPr>
      <w:r>
        <w:rPr>
          <w:rFonts w:hint="eastAsia" w:ascii="楷体" w:hAnsi="楷体" w:eastAsia="楷体" w:cs="楷体"/>
          <w:sz w:val="32"/>
          <w:szCs w:val="32"/>
        </w:rPr>
        <w:t>（四）加强法治宣传教育，营造良好法治氛围。</w:t>
      </w:r>
      <w:r>
        <w:rPr>
          <w:rFonts w:hint="eastAsia" w:ascii="仿宋_GB2312" w:eastAsia="仿宋_GB2312" w:cs="仿宋_GB2312"/>
          <w:sz w:val="32"/>
          <w:szCs w:val="32"/>
        </w:rPr>
        <w:t>落实“谁执法谁普法”责任制，明确了各科室在法治宣传教育中的职责和任务，将法治宣传教育融入日常卫生健康执法工作。通过开展法律法规宣传咨询活动、发放宣传资料等形式，向广大人民群众和管理相对人宣传卫生健康法律法规知识，提高公众的法律意识和健康素养。</w:t>
      </w:r>
    </w:p>
    <w:p w14:paraId="7FBB0CB2">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jc w:val="left"/>
        <w:textAlignment w:val="auto"/>
        <w:rPr>
          <w:rFonts w:hint="eastAsia" w:ascii="黑体" w:hAnsi="黑体" w:eastAsia="黑体" w:cs="黑体"/>
          <w:sz w:val="32"/>
          <w:szCs w:val="32"/>
        </w:rPr>
      </w:pPr>
      <w:r>
        <w:rPr>
          <w:rFonts w:hint="eastAsia" w:ascii="黑体" w:hAnsi="黑体" w:eastAsia="黑体" w:cs="黑体"/>
          <w:sz w:val="32"/>
          <w:szCs w:val="32"/>
        </w:rPr>
        <w:t>四、2025年度推进法治政府建设的主要安排</w:t>
      </w:r>
    </w:p>
    <w:p w14:paraId="38830D7D">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）加强法治学习与宣传。</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深入学习习近平法治思想。把习近平法治思想纳入党组理论学习中心组重点学习内容，定期组织专题学习研讨，全年不少于3次。通过党组书记授课、开展交流分享等形式，加深对习近平法治思想核心要义、精神实质、丰富内涵和实践要求的理解，提高领导干部运用法治思维和法治方式深化改革、推动发展、化解矛盾、维护稳定的能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广泛开展法治宣传活动。围绕群众关心的医疗卫生热点问题，通过宣传横幅、宣传礼品、宣传折页等多种宣传渠道和载体，开展形式多样的法治宣传活动。结合“3·15”消费者权益日、“12·4”国家宪法日等重要时间节点，组织开展集中宣传活动，重点宣传《中华人民共和国基本医疗卫生与健康促进法》《中华人民共和国医师法》《医疗机构管理条例》等法律法规，增强群众的法治意识和依法维权能力。</w:t>
      </w:r>
    </w:p>
    <w:p w14:paraId="45B58AED">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）完善依法行政制度体系。</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加强规范性文件管理。严格执行规范性文件制定程序，落实公开征求意见、合法性审查、集体讨论决定等制度。加强规范性文件备案审查工作，确保规范性文件合法有效。建立规范性文件动态清零机制，定期对规范性文件进行清理，及时废止或修订不符合法律法规和政策要求的文件，每年开展一次全面清理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健全依法决策机制。完善重大行政决策程序规定，明确决策主体、事项范围、法定程序、法律责任等。对于涉及重大公共利益、群众切身利益、社会关注度高的事项，在决策前广泛征求社会公众意见，开展风险评估和合法性审查。建立重大行政决策终身责任追究制度及责任倒查机制，对决策严重失误或者依法应当及时作出决策但久拖不决造成重大损失、恶劣影响的，严格追究相关责任人员的法律责任。</w:t>
      </w:r>
    </w:p>
    <w:p w14:paraId="3530A1FB">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32"/>
        <w:jc w:val="left"/>
        <w:textAlignment w:val="auto"/>
        <w:rPr>
          <w:rFonts w:hint="eastAsia" w:ascii="仿宋" w:hAnsi="仿宋" w:eastAsia="仿宋" w:cs="仿宋"/>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）严格规范行政执法。</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加大执法力度。持续打击非法行医、医疗欺诈、违规执业等违法行为，维护医疗服务市场秩序。加强对医疗机构、公共场所、职业卫生等重点领域的日常监督检查，增加监督检查频次，扩大监督检查覆盖面。充分运用“双随机、一公开”监管、重点监管、信用监管等方式，提高监管效能。</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落实行政执法“三项制度”。全面推行行政执法公示制度，通过政府门户网等平台，及时向社会公开行政执法信息，包括执法主体、执法依据、执法程序、执法结果等，确保行政执法信息公开透明。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加强执法队伍建设。强化执法人员资格管理，严格执行执法人员持证上岗制度，定期对执法人员进行资格审查和清理，确保执法人员具备相应的法律知识和执法能力。</w:t>
      </w:r>
    </w:p>
    <w:p w14:paraId="7C9FD2AF">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6C5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067F9E">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F067F9E">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343593"/>
    <w:rsid w:val="3C50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2025-04-07T13:38:00Z</dcterms:created>
  <dc:creator>Administrator</dc:creator>
  <cp:lastModifiedBy>Administrator</cp:lastModifiedBy>
  <dcterms:modified xsi:type="dcterms:W3CDTF">2025-04-07T13:44:09Z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C65223FB916E479982489AC9AF8DDB66_12</vt:lpwstr>
  </property>
</Properties>
</file>