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10FF">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right="0"/>
        <w:jc w:val="center"/>
        <w:textAlignment w:val="auto"/>
        <w:rPr>
          <w:color w:val="auto"/>
        </w:rPr>
      </w:pPr>
      <w:r>
        <w:rPr>
          <w:rFonts w:ascii="方正小标宋简体" w:hAnsi="方正小标宋简体" w:eastAsia="方正小标宋简体" w:cs="方正小标宋简体"/>
          <w:color w:val="auto"/>
          <w:sz w:val="44"/>
          <w:szCs w:val="44"/>
        </w:rPr>
        <w:t>措美县财政局2024年法治政府建设年度报告</w:t>
      </w:r>
    </w:p>
    <w:p w14:paraId="2BDD45C2">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32"/>
        <w:jc w:val="both"/>
        <w:textAlignment w:val="auto"/>
        <w:rPr>
          <w:rFonts w:ascii="仿宋_GB2312" w:eastAsia="仿宋_GB2312" w:cs="仿宋_GB2312"/>
          <w:color w:val="auto"/>
          <w:sz w:val="32"/>
          <w:szCs w:val="32"/>
        </w:rPr>
      </w:pPr>
    </w:p>
    <w:p w14:paraId="2C94EEDF">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32"/>
        <w:jc w:val="both"/>
        <w:textAlignment w:val="auto"/>
        <w:rPr>
          <w:color w:val="auto"/>
        </w:rPr>
      </w:pPr>
      <w:r>
        <w:rPr>
          <w:rFonts w:ascii="仿宋_GB2312" w:eastAsia="仿宋_GB2312" w:cs="仿宋_GB2312"/>
          <w:color w:val="auto"/>
          <w:sz w:val="32"/>
          <w:szCs w:val="32"/>
        </w:rPr>
        <w:t>2024年以来，我局坚持以习近平新时代中国特色社会主义思想为指导，深入贯彻落实党的二十大和二十届三中全会精神，紧紧围绕习近平法治思想，把法治政府建设放在财政工作的重要位置，坚持依法行政，严格依法理财，法治财政建设取得了显著成效。现将我局2024年法治政府建设年度报告如下：</w:t>
      </w:r>
    </w:p>
    <w:p w14:paraId="35ED183F">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34"/>
        <w:jc w:val="both"/>
        <w:textAlignment w:val="auto"/>
        <w:rPr>
          <w:color w:val="auto"/>
        </w:rPr>
      </w:pPr>
      <w:r>
        <w:rPr>
          <w:rFonts w:ascii="黑体" w:hAnsi="宋体" w:eastAsia="黑体" w:cs="黑体"/>
          <w:color w:val="auto"/>
          <w:sz w:val="32"/>
          <w:szCs w:val="32"/>
        </w:rPr>
        <w:t>一、2024年度推进法治政府建设工作的主要举措和成效</w:t>
      </w:r>
    </w:p>
    <w:p w14:paraId="10C0B228">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34"/>
        <w:jc w:val="both"/>
        <w:textAlignment w:val="auto"/>
        <w:rPr>
          <w:color w:val="auto"/>
        </w:rPr>
      </w:pPr>
      <w:r>
        <w:rPr>
          <w:rFonts w:hint="eastAsia" w:ascii="仿宋_GB2312" w:eastAsia="仿宋_GB2312" w:cs="仿宋_GB2312"/>
          <w:color w:val="auto"/>
          <w:sz w:val="32"/>
          <w:szCs w:val="32"/>
        </w:rPr>
        <w:t>依法行政是一项长期而艰巨的工作。我局历来重视财政法治建设，不断健全相关工作机制，定期召开专题会议研究解决问题，切实将此项工作纳入财政工作的重要议事日程。</w:t>
      </w:r>
    </w:p>
    <w:p w14:paraId="5D3E93AA">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32"/>
        <w:jc w:val="both"/>
        <w:textAlignment w:val="auto"/>
        <w:rPr>
          <w:color w:val="auto"/>
        </w:rPr>
      </w:pPr>
      <w:r>
        <w:rPr>
          <w:rStyle w:val="7"/>
          <w:rFonts w:hint="eastAsia" w:ascii="楷体_GB2312" w:hAnsi="楷体_GB2312" w:eastAsia="楷体_GB2312" w:cs="楷体_GB2312"/>
          <w:b w:val="0"/>
          <w:bCs/>
          <w:color w:val="auto"/>
          <w:sz w:val="32"/>
          <w:szCs w:val="32"/>
        </w:rPr>
        <w:t>（一）加强组织领导。</w:t>
      </w:r>
      <w:r>
        <w:rPr>
          <w:rFonts w:hint="eastAsia" w:ascii="仿宋_GB2312" w:eastAsia="仿宋_GB2312" w:cs="仿宋_GB2312"/>
          <w:color w:val="auto"/>
          <w:sz w:val="32"/>
          <w:szCs w:val="32"/>
        </w:rPr>
        <w:t>我局高度重视法治政府建设工作，成立了由党组书记、局长担任组长的法治建设领导小组，统筹推进全局法治建设工作。同时，我局将</w:t>
      </w:r>
      <w:bookmarkStart w:id="1" w:name="_GoBack"/>
      <w:bookmarkEnd w:id="1"/>
      <w:r>
        <w:rPr>
          <w:rFonts w:hint="eastAsia" w:ascii="仿宋_GB2312" w:eastAsia="仿宋_GB2312" w:cs="仿宋_GB2312"/>
          <w:color w:val="auto"/>
          <w:sz w:val="32"/>
          <w:szCs w:val="32"/>
        </w:rPr>
        <w:t>法治政府建设纳入年度工作计划，与财政业务工作同部署、同推进、同考核，确保法治建设各项任务落到实处。</w:t>
      </w:r>
    </w:p>
    <w:p w14:paraId="7CEE0909">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32"/>
        <w:jc w:val="both"/>
        <w:textAlignment w:val="auto"/>
        <w:rPr>
          <w:color w:val="auto"/>
        </w:rPr>
      </w:pPr>
      <w:r>
        <w:rPr>
          <w:rStyle w:val="7"/>
          <w:rFonts w:hint="eastAsia" w:ascii="楷体_GB2312" w:hAnsi="楷体_GB2312" w:eastAsia="楷体_GB2312" w:cs="楷体_GB2312"/>
          <w:b w:val="0"/>
          <w:bCs/>
          <w:color w:val="auto"/>
          <w:sz w:val="32"/>
          <w:szCs w:val="32"/>
        </w:rPr>
        <w:t>（二）强化法治学习。</w:t>
      </w:r>
      <w:r>
        <w:rPr>
          <w:rFonts w:hint="eastAsia" w:ascii="仿宋_GB2312" w:eastAsia="仿宋_GB2312" w:cs="仿宋_GB2312"/>
          <w:color w:val="auto"/>
          <w:sz w:val="32"/>
          <w:szCs w:val="32"/>
        </w:rPr>
        <w:t>我局重视法律知识学习，通过党组理论学习中心组、支部集中学习、主题党日等多种方式，组织干部职工深入学习《中华人民共和国会计法》《中华人民共和国预算法》《中华人民共和国监察法》等法律法规。同时，积极组织干部职工参加网络学法和线上法律法规考试，有效提升干部职工的法治意识和法律素养。</w:t>
      </w:r>
    </w:p>
    <w:p w14:paraId="56937AC5">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32"/>
        <w:jc w:val="left"/>
        <w:textAlignment w:val="auto"/>
        <w:rPr>
          <w:color w:val="auto"/>
        </w:rPr>
      </w:pPr>
      <w:r>
        <w:rPr>
          <w:rStyle w:val="7"/>
          <w:rFonts w:hint="eastAsia" w:ascii="楷体_GB2312" w:hAnsi="楷体_GB2312" w:eastAsia="楷体_GB2312" w:cs="楷体_GB2312"/>
          <w:b w:val="0"/>
          <w:bCs/>
          <w:color w:val="auto"/>
          <w:sz w:val="32"/>
          <w:szCs w:val="32"/>
        </w:rPr>
        <w:t>（三）强化宣传引导。</w:t>
      </w:r>
      <w:r>
        <w:rPr>
          <w:rFonts w:hint="eastAsia" w:ascii="仿宋_GB2312" w:eastAsia="仿宋_GB2312" w:cs="仿宋_GB2312"/>
          <w:color w:val="auto"/>
          <w:sz w:val="32"/>
          <w:szCs w:val="32"/>
        </w:rPr>
        <w:t>为贯彻落实全国“八五”普法规划的部署要求，根据上级要求和统一部署，结合综治宣传日、宣传周、宣传月和12.4法治宣传日等活动，积极组织干部职工在主干道路集中开展了《中华人民共和国民法典》、《中华人民共和国劳动法》等群众息息相关的法律法规宣传。向群众讲解了党的二十大、中央民族工作会议精神和《中华人民共和国宪法》《中华人民共和国民法典》等国家基本法律法规知识。通过宣传，进一步提高了群众法律意识，营造了人人知法律、人人懂法律、人人用法律的良好氛围。2024年共开展宣传活动14余次，悬挂宣传横幅7条，发放宣传资料800余份，受众群众达1000余人次。</w:t>
      </w:r>
    </w:p>
    <w:p w14:paraId="6E68CEE6">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textAlignment w:val="auto"/>
        <w:rPr>
          <w:color w:val="auto"/>
          <w:sz w:val="32"/>
          <w:szCs w:val="32"/>
        </w:rPr>
      </w:pPr>
      <w:r>
        <w:rPr>
          <w:rFonts w:hint="eastAsia" w:ascii="黑体" w:hAnsi="宋体" w:eastAsia="黑体" w:cs="黑体"/>
          <w:b w:val="0"/>
          <w:bCs w:val="0"/>
          <w:color w:val="auto"/>
          <w:sz w:val="32"/>
          <w:szCs w:val="32"/>
        </w:rPr>
        <w:t>二、2024年度推进法治政府建设存在的不足和原因</w:t>
      </w:r>
    </w:p>
    <w:p w14:paraId="765BDBAF">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34"/>
        <w:jc w:val="both"/>
        <w:textAlignment w:val="auto"/>
        <w:rPr>
          <w:color w:val="auto"/>
        </w:rPr>
      </w:pPr>
      <w:r>
        <w:rPr>
          <w:rStyle w:val="7"/>
          <w:rFonts w:hint="eastAsia" w:ascii="仿宋_GB2312" w:eastAsia="仿宋_GB2312" w:cs="仿宋_GB2312"/>
          <w:color w:val="auto"/>
          <w:sz w:val="32"/>
          <w:szCs w:val="32"/>
        </w:rPr>
        <w:t>一是</w:t>
      </w:r>
      <w:r>
        <w:rPr>
          <w:rFonts w:hint="eastAsia" w:ascii="仿宋_GB2312" w:eastAsia="仿宋_GB2312" w:cs="仿宋_GB2312"/>
          <w:color w:val="auto"/>
          <w:sz w:val="32"/>
          <w:szCs w:val="32"/>
        </w:rPr>
        <w:t>财政法治制度更新不及时。二</w:t>
      </w:r>
      <w:r>
        <w:rPr>
          <w:rStyle w:val="7"/>
          <w:rFonts w:hint="eastAsia" w:ascii="仿宋_GB2312" w:eastAsia="仿宋_GB2312" w:cs="仿宋_GB2312"/>
          <w:color w:val="auto"/>
          <w:sz w:val="32"/>
          <w:szCs w:val="32"/>
        </w:rPr>
        <w:t>是</w:t>
      </w:r>
      <w:r>
        <w:rPr>
          <w:rFonts w:hint="eastAsia" w:ascii="仿宋_GB2312" w:eastAsia="仿宋_GB2312" w:cs="仿宋_GB2312"/>
          <w:color w:val="auto"/>
          <w:sz w:val="32"/>
          <w:szCs w:val="32"/>
        </w:rPr>
        <w:t>部分财政工作人员法治观念仍有待加强。</w:t>
      </w:r>
      <w:r>
        <w:rPr>
          <w:rStyle w:val="7"/>
          <w:rFonts w:hint="eastAsia" w:ascii="仿宋_GB2312" w:eastAsia="仿宋_GB2312" w:cs="仿宋_GB2312"/>
          <w:color w:val="auto"/>
          <w:sz w:val="32"/>
          <w:szCs w:val="32"/>
        </w:rPr>
        <w:t>三是</w:t>
      </w:r>
      <w:r>
        <w:rPr>
          <w:rFonts w:hint="eastAsia" w:ascii="仿宋_GB2312" w:eastAsia="仿宋_GB2312" w:cs="仿宋_GB2312"/>
          <w:color w:val="auto"/>
          <w:sz w:val="32"/>
          <w:szCs w:val="32"/>
        </w:rPr>
        <w:t>财政资金监管相关法规存在漏洞。</w:t>
      </w:r>
      <w:r>
        <w:rPr>
          <w:rStyle w:val="7"/>
          <w:rFonts w:hint="eastAsia" w:ascii="仿宋_GB2312" w:eastAsia="仿宋_GB2312" w:cs="仿宋_GB2312"/>
          <w:color w:val="auto"/>
          <w:sz w:val="32"/>
          <w:szCs w:val="32"/>
        </w:rPr>
        <w:t>四是</w:t>
      </w:r>
      <w:r>
        <w:rPr>
          <w:rFonts w:hint="eastAsia" w:ascii="仿宋_GB2312" w:eastAsia="仿宋_GB2312" w:cs="仿宋_GB2312"/>
          <w:color w:val="auto"/>
          <w:sz w:val="32"/>
          <w:szCs w:val="32"/>
        </w:rPr>
        <w:t>财会监督工作覆盖率低。</w:t>
      </w:r>
    </w:p>
    <w:p w14:paraId="3060E547">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31"/>
        <w:jc w:val="both"/>
        <w:textAlignment w:val="auto"/>
        <w:rPr>
          <w:color w:val="auto"/>
        </w:rPr>
      </w:pPr>
      <w:bookmarkStart w:id="0" w:name="OLE_LINK2"/>
      <w:r>
        <w:rPr>
          <w:rFonts w:hint="default" w:ascii="Times New Roman" w:hAnsi="Times New Roman" w:eastAsia="黑体" w:cs="Times New Roman"/>
          <w:color w:val="auto"/>
          <w:sz w:val="32"/>
          <w:szCs w:val="32"/>
        </w:rPr>
        <w:t>三、</w:t>
      </w:r>
      <w:r>
        <w:rPr>
          <w:rFonts w:hint="default" w:ascii="Times New Roman" w:hAnsi="Times New Roman" w:cs="Times New Roman"/>
          <w:color w:val="auto"/>
          <w:sz w:val="32"/>
          <w:szCs w:val="32"/>
        </w:rPr>
        <w:t>2024</w:t>
      </w:r>
      <w:r>
        <w:rPr>
          <w:rFonts w:hint="default" w:ascii="Times New Roman" w:hAnsi="Times New Roman" w:eastAsia="黑体" w:cs="Times New Roman"/>
          <w:color w:val="auto"/>
          <w:sz w:val="32"/>
          <w:szCs w:val="32"/>
        </w:rPr>
        <w:t>年度党政主要负责人履行推进法治建设第一责任人职责，加强法治政府建设的有关情况</w:t>
      </w:r>
    </w:p>
    <w:bookmarkEnd w:id="0"/>
    <w:p w14:paraId="174510AE">
      <w:pPr>
        <w:pStyle w:val="4"/>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76" w:lineRule="exact"/>
        <w:ind w:left="0" w:right="0" w:firstLine="632"/>
        <w:jc w:val="both"/>
        <w:textAlignment w:val="auto"/>
        <w:rPr>
          <w:color w:val="auto"/>
        </w:rPr>
      </w:pPr>
      <w:r>
        <w:rPr>
          <w:rStyle w:val="7"/>
          <w:rFonts w:hint="eastAsia" w:ascii="楷体_GB2312" w:hAnsi="楷体_GB2312" w:eastAsia="楷体_GB2312" w:cs="楷体_GB2312"/>
          <w:b w:val="0"/>
          <w:bCs/>
          <w:color w:val="auto"/>
          <w:sz w:val="32"/>
          <w:szCs w:val="32"/>
        </w:rPr>
        <w:t>（一）加强法治财政建设的领导。</w:t>
      </w:r>
      <w:r>
        <w:rPr>
          <w:rStyle w:val="7"/>
          <w:rFonts w:hint="eastAsia" w:ascii="仿宋_GB2312" w:eastAsia="仿宋_GB2312" w:cs="仿宋_GB2312"/>
          <w:color w:val="auto"/>
          <w:sz w:val="32"/>
          <w:szCs w:val="32"/>
          <w:shd w:val="clear" w:fill="FFFFFF"/>
        </w:rPr>
        <w:t>一是</w:t>
      </w:r>
      <w:r>
        <w:rPr>
          <w:rFonts w:hint="eastAsia" w:ascii="仿宋_GB2312" w:eastAsia="仿宋_GB2312" w:cs="仿宋_GB2312"/>
          <w:color w:val="auto"/>
          <w:sz w:val="32"/>
          <w:szCs w:val="32"/>
          <w:shd w:val="clear" w:fill="FFFFFF"/>
        </w:rPr>
        <w:t>认真落实单位主要负责人履行推进法治建设第一责任人职责，全面推进“一规划两纲要”贯彻落实。年初，制定《财政局法治财政建设工作计划》，由党组书记、局长主持召开法治政府建设工作安排部署会2次、推进会1次，确保全年法治政府建设工作有条不紊顺利开展。</w:t>
      </w:r>
    </w:p>
    <w:p w14:paraId="40580EF3">
      <w:pPr>
        <w:pStyle w:val="4"/>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76" w:lineRule="exact"/>
        <w:ind w:left="0" w:right="0" w:firstLine="720"/>
        <w:jc w:val="both"/>
        <w:textAlignment w:val="auto"/>
        <w:rPr>
          <w:color w:val="auto"/>
        </w:rPr>
      </w:pPr>
      <w:r>
        <w:rPr>
          <w:rStyle w:val="7"/>
          <w:rFonts w:hint="eastAsia" w:ascii="楷体_GB2312" w:hAnsi="楷体_GB2312" w:eastAsia="楷体_GB2312" w:cs="楷体_GB2312"/>
          <w:b w:val="0"/>
          <w:bCs/>
          <w:color w:val="auto"/>
          <w:sz w:val="32"/>
          <w:szCs w:val="32"/>
        </w:rPr>
        <w:t>（二）认真学习贯彻习近平法治思想。</w:t>
      </w:r>
      <w:r>
        <w:rPr>
          <w:rFonts w:hint="eastAsia" w:ascii="仿宋_GB2312" w:eastAsia="仿宋_GB2312" w:cs="仿宋_GB2312"/>
          <w:color w:val="auto"/>
          <w:sz w:val="32"/>
          <w:szCs w:val="32"/>
          <w:shd w:val="clear" w:fill="FFFFFF"/>
        </w:rPr>
        <w:t>根据县法治政府建设领导小组有关工作要求，深入贯彻落实习近平法治思想，紧密结合工作实际，制定学习计划，全面提升财政干部依法行政、依法理财能力。</w:t>
      </w:r>
      <w:r>
        <w:rPr>
          <w:rStyle w:val="7"/>
          <w:rFonts w:hint="eastAsia" w:ascii="仿宋_GB2312" w:eastAsia="仿宋_GB2312" w:cs="仿宋_GB2312"/>
          <w:color w:val="auto"/>
          <w:sz w:val="32"/>
          <w:szCs w:val="32"/>
          <w:shd w:val="clear" w:fill="FFFFFF"/>
        </w:rPr>
        <w:t>一是</w:t>
      </w:r>
      <w:r>
        <w:rPr>
          <w:rStyle w:val="7"/>
          <w:rFonts w:hint="eastAsia" w:ascii="仿宋_GB2312" w:eastAsia="仿宋_GB2312" w:cs="仿宋_GB2312"/>
          <w:b w:val="0"/>
          <w:bCs/>
          <w:color w:val="auto"/>
          <w:sz w:val="32"/>
          <w:szCs w:val="32"/>
          <w:shd w:val="clear" w:fill="FFFFFF"/>
        </w:rPr>
        <w:t>通过</w:t>
      </w:r>
      <w:r>
        <w:rPr>
          <w:rFonts w:hint="eastAsia" w:ascii="仿宋_GB2312" w:eastAsia="仿宋_GB2312" w:cs="仿宋_GB2312"/>
          <w:color w:val="auto"/>
          <w:sz w:val="32"/>
          <w:szCs w:val="32"/>
          <w:shd w:val="clear" w:fill="FFFFFF"/>
        </w:rPr>
        <w:t>党组理论学习中心组学习会、支部学习会组织全体干部职工重点学习习近平新时代中国特色社会主义思想、习近平法治思想、党的二十大精神和中央全面依法治国工作会议以及自治区党委全面依法治区委员会工作会议精神；认真学习“一规划两纲要”，及时学习掌握习近平总书记系列重要讲话精神，实现党员干部学法用法的长期性和常态化。</w:t>
      </w:r>
      <w:r>
        <w:rPr>
          <w:rStyle w:val="7"/>
          <w:rFonts w:hint="eastAsia" w:ascii="仿宋_GB2312" w:eastAsia="仿宋_GB2312" w:cs="仿宋_GB2312"/>
          <w:color w:val="auto"/>
          <w:sz w:val="32"/>
          <w:szCs w:val="32"/>
          <w:shd w:val="clear" w:fill="FFFFFF"/>
        </w:rPr>
        <w:t>二是</w:t>
      </w:r>
      <w:r>
        <w:rPr>
          <w:rFonts w:hint="eastAsia" w:ascii="仿宋_GB2312" w:eastAsia="仿宋_GB2312" w:cs="仿宋_GB2312"/>
          <w:color w:val="auto"/>
          <w:sz w:val="32"/>
          <w:szCs w:val="32"/>
          <w:shd w:val="clear" w:fill="FFFFFF"/>
        </w:rPr>
        <w:t>组织干部职工开展法宣在线、学习强国等线上学习，不断提高干部职工服务水平和整体素质，增强依法行政、依法理财的能力，推进法治财政建设。2024年开展党组理论学习中心组学习12次，习近平法治思想专题学习3次，组织学习各类法治知识10余次，全局干部积极参加法治线上答题活动2次。</w:t>
      </w:r>
    </w:p>
    <w:p w14:paraId="35870EC4">
      <w:pPr>
        <w:pStyle w:val="4"/>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76" w:lineRule="exact"/>
        <w:ind w:left="0" w:right="0" w:firstLine="720"/>
        <w:jc w:val="both"/>
        <w:textAlignment w:val="auto"/>
        <w:rPr>
          <w:color w:val="auto"/>
        </w:rPr>
      </w:pPr>
      <w:r>
        <w:rPr>
          <w:rStyle w:val="7"/>
          <w:rFonts w:hint="eastAsia" w:ascii="楷体_GB2312" w:hAnsi="楷体_GB2312" w:eastAsia="楷体_GB2312" w:cs="楷体_GB2312"/>
          <w:b w:val="0"/>
          <w:bCs/>
          <w:color w:val="auto"/>
          <w:sz w:val="32"/>
          <w:szCs w:val="32"/>
        </w:rPr>
        <w:t>（三）积极开展各类法治活动。</w:t>
      </w:r>
      <w:r>
        <w:rPr>
          <w:rStyle w:val="7"/>
          <w:rFonts w:hint="eastAsia" w:ascii="仿宋_GB2312" w:eastAsia="仿宋_GB2312" w:cs="仿宋_GB2312"/>
          <w:color w:val="auto"/>
          <w:sz w:val="32"/>
          <w:szCs w:val="32"/>
          <w:shd w:val="clear" w:fill="FFFFFF"/>
        </w:rPr>
        <w:t>一是</w:t>
      </w:r>
      <w:r>
        <w:rPr>
          <w:rFonts w:hint="eastAsia" w:ascii="仿宋_GB2312" w:eastAsia="仿宋_GB2312" w:cs="仿宋_GB2312"/>
          <w:color w:val="auto"/>
          <w:sz w:val="32"/>
          <w:szCs w:val="32"/>
          <w:shd w:val="clear" w:fill="FFFFFF"/>
        </w:rPr>
        <w:t>坚持定期向干部职工讲解财政法制工作在社会和经济发展中的重要地位和作用，讲解财政方面的基本法律知识，不断提高财政干部的依法行政水平。平时注重学习《中华人民共和国政府采购法》《中华人民共和国反有组织犯罪法》等财经法律法规知识，做到人人知晓，个个明白，有效提高了干部职工的法律素质。</w:t>
      </w:r>
      <w:r>
        <w:rPr>
          <w:rStyle w:val="7"/>
          <w:rFonts w:hint="eastAsia" w:ascii="仿宋_GB2312" w:eastAsia="仿宋_GB2312" w:cs="仿宋_GB2312"/>
          <w:color w:val="auto"/>
          <w:sz w:val="32"/>
          <w:szCs w:val="32"/>
          <w:shd w:val="clear" w:fill="FFFFFF"/>
        </w:rPr>
        <w:t>二是</w:t>
      </w:r>
      <w:r>
        <w:rPr>
          <w:rFonts w:hint="eastAsia" w:ascii="仿宋_GB2312" w:eastAsia="仿宋_GB2312" w:cs="仿宋_GB2312"/>
          <w:color w:val="auto"/>
          <w:sz w:val="32"/>
          <w:szCs w:val="32"/>
          <w:shd w:val="clear" w:fill="FFFFFF"/>
        </w:rPr>
        <w:t>积极参加法治宣传活动，充分利用微信公众号、LED电子显示屏、工作群等多种方式，加强对《中华人民共和国国家安全法》</w:t>
      </w:r>
      <w:r>
        <w:rPr>
          <w:rFonts w:hint="eastAsia" w:ascii="仿宋_GB2312" w:eastAsia="仿宋_GB2312" w:cs="仿宋_GB2312"/>
          <w:color w:val="auto"/>
          <w:sz w:val="32"/>
          <w:szCs w:val="32"/>
          <w:shd w:val="clear" w:fill="FFFFFF"/>
        </w:rPr>
        <w:t>《中华人民共和国保守国家秘密法</w:t>
      </w:r>
      <w:r>
        <w:rPr>
          <w:rFonts w:hint="eastAsia" w:ascii="仿宋_GB2312" w:eastAsia="仿宋_GB2312" w:cs="仿宋_GB2312"/>
          <w:color w:val="auto"/>
          <w:sz w:val="32"/>
          <w:szCs w:val="32"/>
          <w:shd w:val="clear" w:fill="FFFFFF"/>
        </w:rPr>
        <w:t>》等相关知识的学习宣传，有效提高了干部职工的国家安全意识，为维护社会稳定，共建和谐社会营造了良好的氛围。</w:t>
      </w:r>
      <w:r>
        <w:rPr>
          <w:rStyle w:val="7"/>
          <w:rFonts w:hint="eastAsia" w:ascii="仿宋_GB2312" w:eastAsia="仿宋_GB2312" w:cs="仿宋_GB2312"/>
          <w:color w:val="auto"/>
          <w:sz w:val="32"/>
          <w:szCs w:val="32"/>
          <w:shd w:val="clear" w:fill="FFFFFF"/>
        </w:rPr>
        <w:t>三是</w:t>
      </w:r>
      <w:r>
        <w:rPr>
          <w:rStyle w:val="7"/>
          <w:rFonts w:hint="eastAsia" w:ascii="仿宋_GB2312" w:eastAsia="仿宋_GB2312" w:cs="仿宋_GB2312"/>
          <w:b w:val="0"/>
          <w:bCs/>
          <w:color w:val="auto"/>
          <w:sz w:val="32"/>
          <w:szCs w:val="32"/>
          <w:shd w:val="clear" w:fill="FFFFFF"/>
        </w:rPr>
        <w:t>积极</w:t>
      </w:r>
      <w:r>
        <w:rPr>
          <w:rFonts w:hint="eastAsia" w:ascii="仿宋_GB2312" w:eastAsia="仿宋_GB2312" w:cs="仿宋_GB2312"/>
          <w:color w:val="auto"/>
          <w:sz w:val="32"/>
          <w:szCs w:val="32"/>
          <w:shd w:val="clear" w:fill="FFFFFF"/>
        </w:rPr>
        <w:t>参与普法考试。按照《财政局干部定期学法制度》要求，积极组织全体干部职工参与全国普法学习，下发考试流程说明及注意事项，进一步增强了全局干部职工的法治观念。2024年普法学习参考率、合格率达95%以上。</w:t>
      </w:r>
    </w:p>
    <w:p w14:paraId="3CB7B535">
      <w:pPr>
        <w:pStyle w:val="4"/>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576" w:lineRule="exact"/>
        <w:ind w:left="0" w:right="0" w:firstLine="720"/>
        <w:jc w:val="both"/>
        <w:textAlignment w:val="auto"/>
        <w:rPr>
          <w:color w:val="auto"/>
        </w:rPr>
      </w:pPr>
      <w:r>
        <w:rPr>
          <w:rFonts w:hint="eastAsia" w:ascii="黑体" w:hAnsi="宋体" w:eastAsia="黑体" w:cs="黑体"/>
          <w:b w:val="0"/>
          <w:bCs w:val="0"/>
          <w:color w:val="auto"/>
          <w:sz w:val="32"/>
          <w:szCs w:val="32"/>
          <w:shd w:val="clear" w:fill="FFFFFF"/>
        </w:rPr>
        <w:t>四、2025年度推进法治政府建设的主要安排</w:t>
      </w:r>
    </w:p>
    <w:p w14:paraId="6D441804">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3" w:firstLineChars="200"/>
        <w:jc w:val="both"/>
        <w:textAlignment w:val="auto"/>
        <w:rPr>
          <w:color w:val="auto"/>
        </w:rPr>
      </w:pPr>
      <w:r>
        <w:rPr>
          <w:rStyle w:val="7"/>
          <w:rFonts w:hint="eastAsia" w:ascii="仿宋_GB2312" w:eastAsia="仿宋_GB2312" w:cs="仿宋_GB2312"/>
          <w:color w:val="auto"/>
          <w:sz w:val="32"/>
          <w:szCs w:val="32"/>
        </w:rPr>
        <w:t>一是</w:t>
      </w:r>
      <w:r>
        <w:rPr>
          <w:rFonts w:hint="eastAsia" w:ascii="仿宋" w:hAnsi="仿宋" w:eastAsia="仿宋" w:cs="仿宋"/>
          <w:color w:val="auto"/>
          <w:sz w:val="32"/>
          <w:szCs w:val="32"/>
        </w:rPr>
        <w:t>紧紧围绕习近平法治思想，不断加强法治政府建设工作，为深化财税体制改革和推动财政高质量发展提供有力的法治保障。</w:t>
      </w:r>
      <w:r>
        <w:rPr>
          <w:rStyle w:val="7"/>
          <w:rFonts w:hint="eastAsia" w:ascii="仿宋_GB2312" w:eastAsia="仿宋_GB2312" w:cs="仿宋_GB2312"/>
          <w:color w:val="auto"/>
          <w:sz w:val="32"/>
          <w:szCs w:val="32"/>
        </w:rPr>
        <w:t>二是</w:t>
      </w:r>
      <w:r>
        <w:rPr>
          <w:rFonts w:hint="eastAsia" w:ascii="仿宋_GB2312" w:eastAsia="仿宋_GB2312" w:cs="仿宋_GB2312"/>
          <w:b w:val="0"/>
          <w:bCs w:val="0"/>
          <w:color w:val="auto"/>
          <w:sz w:val="32"/>
          <w:szCs w:val="32"/>
        </w:rPr>
        <w:t>牢固树立法治理念。以贯彻落实“一规划两纲要”为契机，结合财政局工作实际，持之以恒地深入开展法治宣传教育，充分利用“法宣在线”、“学习强国”等平台，通过集中学习、交流学习、自学、“线上+线下”等方式，开展法律知识和业务知识学习，不断增强干部职工学法用法，弘扬法治精神，维护法律权威。</w:t>
      </w:r>
      <w:r>
        <w:rPr>
          <w:rStyle w:val="7"/>
          <w:rFonts w:hint="eastAsia" w:ascii="仿宋_GB2312" w:eastAsia="仿宋_GB2312" w:cs="仿宋_GB2312"/>
          <w:color w:val="auto"/>
          <w:sz w:val="32"/>
          <w:szCs w:val="32"/>
        </w:rPr>
        <w:t>三是</w:t>
      </w:r>
      <w:r>
        <w:rPr>
          <w:rFonts w:hint="eastAsia" w:ascii="仿宋_GB2312" w:eastAsia="仿宋_GB2312" w:cs="仿宋_GB2312"/>
          <w:b w:val="0"/>
          <w:bCs w:val="0"/>
          <w:color w:val="auto"/>
          <w:sz w:val="32"/>
          <w:szCs w:val="32"/>
        </w:rPr>
        <w:t>继续做好依法行政、依法治税工作，严格执法管理，监督各项税收政策贯彻落实到位。</w:t>
      </w:r>
      <w:r>
        <w:rPr>
          <w:rStyle w:val="7"/>
          <w:rFonts w:hint="eastAsia" w:ascii="仿宋_GB2312" w:eastAsia="仿宋_GB2312" w:cs="仿宋_GB2312"/>
          <w:color w:val="auto"/>
          <w:sz w:val="32"/>
          <w:szCs w:val="32"/>
        </w:rPr>
        <w:t>四是</w:t>
      </w:r>
      <w:r>
        <w:rPr>
          <w:rFonts w:hint="eastAsia" w:ascii="仿宋_GB2312" w:eastAsia="仿宋_GB2312" w:cs="仿宋_GB2312"/>
          <w:b w:val="0"/>
          <w:bCs w:val="0"/>
          <w:color w:val="auto"/>
          <w:sz w:val="32"/>
          <w:szCs w:val="32"/>
        </w:rPr>
        <w:t>结合法治宣传日等活动，积极开展各类法律法规宣传活动，不断提高辖区群众的法律意识。</w:t>
      </w:r>
    </w:p>
    <w:p w14:paraId="44222640">
      <w:pPr>
        <w:keepNext w:val="0"/>
        <w:keepLines w:val="0"/>
        <w:pageBreakBefore w:val="0"/>
        <w:widowControl w:val="0"/>
        <w:kinsoku/>
        <w:wordWrap/>
        <w:overflowPunct/>
        <w:topLinePunct w:val="0"/>
        <w:autoSpaceDN/>
        <w:bidi w:val="0"/>
        <w:adjustRightInd/>
        <w:snapToGrid/>
        <w:spacing w:beforeAutospacing="0" w:afterAutospacing="0" w:line="576" w:lineRule="exact"/>
        <w:ind w:left="0" w:right="0"/>
        <w:textAlignment w:val="auto"/>
        <w:rPr>
          <w:color w:val="auto"/>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09D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263CE2">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A263CE2">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8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2025-04-07T14:57:36Z</dcterms:created>
  <dc:creator>Administrator</dc:creator>
  <cp:lastModifiedBy>Administrator</cp:lastModifiedBy>
  <dcterms:modified xsi:type="dcterms:W3CDTF">2025-04-07T15:01:33Z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17A6D31239704C7D9BF9926E19E0D073_12</vt:lpwstr>
  </property>
</Properties>
</file>